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6D03A" w14:textId="77777777" w:rsidR="001E4F16" w:rsidRDefault="00A217C0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</w:rPr>
      </w:pPr>
      <w:r>
        <w:rPr>
          <w:rFonts w:ascii="NeoSansPro-Bold" w:eastAsia="NeoSansPro-Bold" w:hAnsi="NeoSansPro-Bold" w:cs="NeoSansPro-Bold"/>
          <w:b/>
          <w:noProof/>
          <w:color w:val="404040"/>
          <w:sz w:val="20"/>
          <w:szCs w:val="20"/>
        </w:rPr>
        <w:drawing>
          <wp:inline distT="0" distB="0" distL="0" distR="0" wp14:anchorId="65B29A1B" wp14:editId="0FCEEFB4">
            <wp:extent cx="1671997" cy="3310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F2819" w14:textId="77777777" w:rsidR="001E4F16" w:rsidRDefault="001E4F16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4022178E" w14:textId="37582739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Nombre: </w:t>
      </w:r>
      <w:r w:rsidR="006A09A5" w:rsidRPr="006A09A5">
        <w:rPr>
          <w:rFonts w:ascii="Arial" w:eastAsia="Arial" w:hAnsi="Arial" w:cs="Arial"/>
          <w:color w:val="404040"/>
          <w:sz w:val="24"/>
          <w:szCs w:val="24"/>
        </w:rPr>
        <w:t xml:space="preserve">XXXXXXXXXX </w:t>
      </w:r>
      <w:proofErr w:type="spellStart"/>
      <w:r w:rsidR="006A09A5" w:rsidRPr="006A09A5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  <w:r w:rsidR="006A09A5" w:rsidRPr="006A09A5"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proofErr w:type="spellStart"/>
      <w:r w:rsidR="006A09A5" w:rsidRPr="006A09A5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</w:p>
    <w:p w14:paraId="76EE7F92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Grado de Escolaridad: </w:t>
      </w:r>
      <w:r>
        <w:rPr>
          <w:rFonts w:ascii="Arial" w:eastAsia="Arial" w:hAnsi="Arial" w:cs="Arial"/>
          <w:color w:val="404040"/>
          <w:sz w:val="24"/>
          <w:szCs w:val="24"/>
        </w:rPr>
        <w:t>Lic. Derecho</w:t>
      </w:r>
    </w:p>
    <w:p w14:paraId="36A0EDD7" w14:textId="4FAE37A0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Cédula Profesional: </w:t>
      </w:r>
      <w:r>
        <w:rPr>
          <w:rFonts w:ascii="Arial" w:eastAsia="Arial" w:hAnsi="Arial" w:cs="Arial"/>
          <w:b/>
          <w:i/>
          <w:color w:val="404040"/>
          <w:sz w:val="24"/>
          <w:szCs w:val="24"/>
        </w:rPr>
        <w:t>(Licenciatura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) </w:t>
      </w:r>
      <w:r w:rsidR="006A09A5" w:rsidRPr="006A09A5">
        <w:rPr>
          <w:rFonts w:ascii="Arial" w:eastAsia="Arial" w:hAnsi="Arial" w:cs="Arial"/>
          <w:color w:val="404040"/>
          <w:sz w:val="24"/>
          <w:szCs w:val="24"/>
        </w:rPr>
        <w:t>XXXXXXXX</w:t>
      </w:r>
    </w:p>
    <w:p w14:paraId="56D116DD" w14:textId="45B10553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Teléfono de Oficina: </w:t>
      </w:r>
      <w:r w:rsidR="00FC1E74">
        <w:rPr>
          <w:rFonts w:ascii="Arial" w:eastAsia="Arial" w:hAnsi="Arial" w:cs="Arial"/>
          <w:color w:val="404040"/>
          <w:sz w:val="24"/>
          <w:szCs w:val="24"/>
        </w:rPr>
        <w:t>5624979159</w:t>
      </w:r>
    </w:p>
    <w:p w14:paraId="2E66FA3F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Correo Electrónico: znolasco@fiscaliaveracruz.gob.mx</w:t>
      </w:r>
    </w:p>
    <w:p w14:paraId="3F9B142F" w14:textId="77777777" w:rsidR="001E4F16" w:rsidRDefault="001E4F16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</w:p>
    <w:p w14:paraId="3B622BFC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noProof/>
          <w:color w:val="FFFFFF"/>
          <w:sz w:val="24"/>
          <w:szCs w:val="24"/>
        </w:rPr>
        <w:drawing>
          <wp:inline distT="0" distB="0" distL="0" distR="0" wp14:anchorId="10CE8377" wp14:editId="5D96331C">
            <wp:extent cx="2366874" cy="37216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FFFFFF"/>
          <w:sz w:val="24"/>
          <w:szCs w:val="24"/>
        </w:rPr>
        <w:t>Formación Académica</w:t>
      </w:r>
    </w:p>
    <w:p w14:paraId="403E4561" w14:textId="77777777" w:rsidR="001E4F16" w:rsidRDefault="001E4F16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</w:p>
    <w:p w14:paraId="2FF8641E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2005-2009</w:t>
      </w:r>
    </w:p>
    <w:p w14:paraId="6725B07B" w14:textId="4128EB6A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Universidad del Golfo de México Campus Minatitlán</w:t>
      </w:r>
    </w:p>
    <w:p w14:paraId="2BF059DE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3EB464CD" w14:textId="509BA9E5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CURSOS:</w:t>
      </w:r>
    </w:p>
    <w:p w14:paraId="298BED6E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2011</w:t>
      </w:r>
    </w:p>
    <w:p w14:paraId="78207072" w14:textId="269382A0" w:rsidR="001E4F16" w:rsidRDefault="006A09A5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8493D26" wp14:editId="5E49CADB">
            <wp:simplePos x="0" y="0"/>
            <wp:positionH relativeFrom="column">
              <wp:posOffset>-4478688</wp:posOffset>
            </wp:positionH>
            <wp:positionV relativeFrom="paragraph">
              <wp:posOffset>369007</wp:posOffset>
            </wp:positionV>
            <wp:extent cx="6973570" cy="1495425"/>
            <wp:effectExtent l="0" t="0" r="0" b="0"/>
            <wp:wrapNone/>
            <wp:docPr id="7129789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7C0">
        <w:rPr>
          <w:rFonts w:ascii="Arial" w:eastAsia="Arial" w:hAnsi="Arial" w:cs="Arial"/>
          <w:color w:val="404040"/>
          <w:sz w:val="24"/>
          <w:szCs w:val="24"/>
        </w:rPr>
        <w:t>“Especialización sobre Juicios Orales y Medios Alternativos de Solución de Conflictos”</w:t>
      </w:r>
    </w:p>
    <w:p w14:paraId="0F86BD4D" w14:textId="50D8C1E6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3F18FE6D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2012</w:t>
      </w:r>
    </w:p>
    <w:p w14:paraId="3CE57211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“Los Derechos Humanos en el Nuevo Sistema de Justicia Penal”</w:t>
      </w:r>
    </w:p>
    <w:p w14:paraId="4955C12E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“</w:t>
      </w:r>
      <w:r w:rsidRPr="00CE401D">
        <w:rPr>
          <w:rFonts w:ascii="Arial" w:eastAsia="Arial" w:hAnsi="Arial" w:cs="Arial"/>
          <w:color w:val="404040"/>
          <w:sz w:val="24"/>
          <w:szCs w:val="24"/>
        </w:rPr>
        <w:t>Curso Taller de identificación de los valores organizacionales y motivación en el trabajo”</w:t>
      </w:r>
    </w:p>
    <w:p w14:paraId="79E0D4BA" w14:textId="77777777" w:rsidR="001E4F16" w:rsidRPr="00CE401D" w:rsidRDefault="001E4F16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414DEDAA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color w:val="404040"/>
          <w:sz w:val="24"/>
          <w:szCs w:val="24"/>
        </w:rPr>
        <w:t>2013-2014</w:t>
      </w:r>
    </w:p>
    <w:p w14:paraId="65A3639A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 xml:space="preserve">“Estrategias de </w:t>
      </w:r>
      <w:proofErr w:type="gramStart"/>
      <w:r w:rsidRPr="00CE401D">
        <w:rPr>
          <w:rFonts w:ascii="Arial" w:eastAsia="Arial" w:hAnsi="Arial" w:cs="Arial"/>
          <w:color w:val="404040"/>
          <w:sz w:val="24"/>
          <w:szCs w:val="24"/>
        </w:rPr>
        <w:t>Litigación  en</w:t>
      </w:r>
      <w:proofErr w:type="gramEnd"/>
      <w:r w:rsidRPr="00CE401D">
        <w:rPr>
          <w:rFonts w:ascii="Arial" w:eastAsia="Arial" w:hAnsi="Arial" w:cs="Arial"/>
          <w:color w:val="404040"/>
          <w:sz w:val="24"/>
          <w:szCs w:val="24"/>
        </w:rPr>
        <w:t xml:space="preserve"> el Juicio Oral y Aplicación en el Proceso Penal Acusatorio”</w:t>
      </w:r>
    </w:p>
    <w:p w14:paraId="48310AC6" w14:textId="77777777" w:rsidR="001E4F16" w:rsidRPr="00CE401D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1C772320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color w:val="404040"/>
          <w:sz w:val="24"/>
          <w:szCs w:val="24"/>
        </w:rPr>
        <w:t>2015</w:t>
      </w:r>
    </w:p>
    <w:p w14:paraId="218B4A42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“juicio Oral en Veracruz”</w:t>
      </w:r>
    </w:p>
    <w:p w14:paraId="77AC9253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“El rol del Fiscal en el Nuevo Sistema de Justicia Penal”</w:t>
      </w:r>
    </w:p>
    <w:p w14:paraId="32767DE1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“Los alcances de la antropología forense en la investigación de casos de desaparición forzada e involuntaria”</w:t>
      </w:r>
    </w:p>
    <w:p w14:paraId="06C7E0CE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“El impacto de la Reforma Constitucional en Materia de Derechos Humanos en la Procuración de Justicia”</w:t>
      </w:r>
    </w:p>
    <w:p w14:paraId="3D07FDED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“La Transición del Sistema Penal Tradicional al Sistema Procesal Penal Acusatorio”</w:t>
      </w:r>
    </w:p>
    <w:p w14:paraId="76A544B0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“Curso Fases del Procedimiento Penal”</w:t>
      </w:r>
    </w:p>
    <w:p w14:paraId="3D48FABD" w14:textId="77777777" w:rsidR="001E4F16" w:rsidRPr="00CE401D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33C80698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color w:val="404040"/>
          <w:sz w:val="24"/>
          <w:szCs w:val="24"/>
        </w:rPr>
        <w:t>2016</w:t>
      </w:r>
    </w:p>
    <w:p w14:paraId="1BB1B835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“La libertad de Expresión y los Derechos Humanos en la Impartición de Justicia”</w:t>
      </w:r>
    </w:p>
    <w:p w14:paraId="0BF48B92" w14:textId="0AFE9FBD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 xml:space="preserve">“Curso básico para Agentes del Ministerio Publico en el Sistema Penal </w:t>
      </w:r>
      <w:r w:rsidR="00CE401D" w:rsidRPr="00CE401D">
        <w:rPr>
          <w:rFonts w:ascii="Arial" w:eastAsia="Arial" w:hAnsi="Arial" w:cs="Arial"/>
          <w:color w:val="404040"/>
          <w:sz w:val="24"/>
          <w:szCs w:val="24"/>
        </w:rPr>
        <w:t>Acusatorio de</w:t>
      </w:r>
      <w:r w:rsidRPr="00CE401D">
        <w:rPr>
          <w:rFonts w:ascii="Arial" w:eastAsia="Arial" w:hAnsi="Arial" w:cs="Arial"/>
          <w:color w:val="404040"/>
          <w:sz w:val="24"/>
          <w:szCs w:val="24"/>
        </w:rPr>
        <w:t xml:space="preserve"> la plataforma educativa SETEC”.</w:t>
      </w:r>
    </w:p>
    <w:p w14:paraId="30C96CE5" w14:textId="3A636D66" w:rsidR="00CE401D" w:rsidRPr="00CE401D" w:rsidRDefault="00CE401D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0DAB5AB3" w14:textId="77777777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bCs/>
          <w:color w:val="404040"/>
          <w:sz w:val="24"/>
          <w:szCs w:val="24"/>
        </w:rPr>
        <w:t>2023</w:t>
      </w:r>
    </w:p>
    <w:p w14:paraId="3F9A8E41" w14:textId="09D87730" w:rsidR="00CE401D" w:rsidRPr="00CE401D" w:rsidRDefault="00CE401D" w:rsidP="00CE40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“Diagnóstico de las decisiones estratégicas del ministerio público”</w:t>
      </w:r>
    </w:p>
    <w:p w14:paraId="27501CE5" w14:textId="57198A38" w:rsidR="00CE401D" w:rsidRPr="00CE401D" w:rsidRDefault="00CE401D" w:rsidP="00CE40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“Orientación sobre el correcto llenado de certificados de defunción”</w:t>
      </w:r>
    </w:p>
    <w:p w14:paraId="393BDFF5" w14:textId="4BFB820E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</w:p>
    <w:p w14:paraId="0AB929DB" w14:textId="1EF2D922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bCs/>
          <w:color w:val="404040"/>
          <w:sz w:val="24"/>
          <w:szCs w:val="24"/>
        </w:rPr>
        <w:t>2024</w:t>
      </w:r>
    </w:p>
    <w:p w14:paraId="2A7F4B39" w14:textId="20C4C49C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“La lógica como herramienta de la argumentación jurídica”</w:t>
      </w:r>
    </w:p>
    <w:p w14:paraId="70758952" w14:textId="595CCA26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“Análisis de contexto aplicado en la investigación del feminicidio”</w:t>
      </w:r>
    </w:p>
    <w:p w14:paraId="6821F0CB" w14:textId="1B211B80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“Prisión preventiva justificada”</w:t>
      </w:r>
    </w:p>
    <w:p w14:paraId="791F8C0F" w14:textId="7E044C02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“La protección de datos personales, avisos de privacidad y elaboración de versiones públicas”</w:t>
      </w:r>
    </w:p>
    <w:p w14:paraId="4A4D265E" w14:textId="084D8ED0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“Formas De conducción del imputado al proceso en el sistema penal acusatorio”</w:t>
      </w:r>
    </w:p>
    <w:p w14:paraId="0CC5B500" w14:textId="3FDC661A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“Audiencia intermedia”</w:t>
      </w:r>
    </w:p>
    <w:p w14:paraId="17BD741B" w14:textId="7A287FE2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“La audiencia inicial en el Sistema de Justicia Penal Acusatorio”</w:t>
      </w:r>
    </w:p>
    <w:p w14:paraId="5A1BDEA3" w14:textId="7E52726D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“Control de detención”</w:t>
      </w:r>
    </w:p>
    <w:p w14:paraId="7A390135" w14:textId="56C4D3DB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“Técnicas y Estrategias de litigación oral”</w:t>
      </w:r>
    </w:p>
    <w:p w14:paraId="77F040F7" w14:textId="51C58111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“Valoración e incorporación de la prueba”</w:t>
      </w:r>
    </w:p>
    <w:p w14:paraId="5D2DC2E4" w14:textId="77777777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</w:p>
    <w:p w14:paraId="1368C497" w14:textId="490B9A5D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bCs/>
          <w:color w:val="404040"/>
          <w:sz w:val="24"/>
          <w:szCs w:val="24"/>
        </w:rPr>
        <w:t>2025</w:t>
      </w:r>
    </w:p>
    <w:p w14:paraId="06A7F2D1" w14:textId="1F5744A2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“Amparos nociones básicas”</w:t>
      </w:r>
    </w:p>
    <w:p w14:paraId="741AE8CE" w14:textId="7B61ADC1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“Investigación Exhaustiva conforme al artículo 212 del Código Nacional de Procedimientos Penales”</w:t>
      </w:r>
    </w:p>
    <w:p w14:paraId="47621F78" w14:textId="4E1263D9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“Análisis de Contexto y el uso de la prueba circunstancial, indiciaria y presuntiva”</w:t>
      </w:r>
    </w:p>
    <w:p w14:paraId="1A5E2985" w14:textId="4EC0664B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“Los lineamientos del Concejo Nacional del MASC y del perfil del Facilitador”</w:t>
      </w:r>
    </w:p>
    <w:p w14:paraId="296B8E83" w14:textId="7D50590E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“Actualización para identificación de vehículo”</w:t>
      </w:r>
    </w:p>
    <w:p w14:paraId="1E46FE1A" w14:textId="4231859B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“Delitos Cometidos en contra de niñas, niños y adolescentes: el matrimonio infantil y las Uniones Forzadas”</w:t>
      </w:r>
    </w:p>
    <w:p w14:paraId="248EDC00" w14:textId="6F93023E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</w:t>
      </w:r>
      <w:proofErr w:type="spellStart"/>
      <w:r w:rsidRPr="00CE401D">
        <w:rPr>
          <w:rFonts w:ascii="Arial" w:hAnsi="Arial" w:cs="Arial"/>
          <w:sz w:val="24"/>
          <w:szCs w:val="24"/>
        </w:rPr>
        <w:t>Lofoscopia</w:t>
      </w:r>
      <w:proofErr w:type="spellEnd"/>
      <w:r w:rsidRPr="00CE401D">
        <w:rPr>
          <w:rFonts w:ascii="Arial" w:hAnsi="Arial" w:cs="Arial"/>
          <w:sz w:val="24"/>
          <w:szCs w:val="24"/>
        </w:rPr>
        <w:t xml:space="preserve"> y Grafología y entrevista”</w:t>
      </w:r>
    </w:p>
    <w:p w14:paraId="179ABA74" w14:textId="5B7EA02E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“Elementos balísticos en el lugar de los hechos o del hallazgo”</w:t>
      </w:r>
    </w:p>
    <w:p w14:paraId="25EFAE70" w14:textId="7D5AE2D4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“Protocolo de cadena de custodia”</w:t>
      </w:r>
    </w:p>
    <w:p w14:paraId="7703BE4C" w14:textId="6405A8C1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“Causalidad de Hechos de Tránsito Terrestre”</w:t>
      </w:r>
    </w:p>
    <w:p w14:paraId="65A871FA" w14:textId="44FDA128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“Calidad en la Comunicación Escrita”</w:t>
      </w:r>
    </w:p>
    <w:p w14:paraId="0A297424" w14:textId="2E0E5D53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“Control judicial previo, su aplicación en aseguramiento de inmuebles”</w:t>
      </w:r>
    </w:p>
    <w:p w14:paraId="73594744" w14:textId="70A48248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“Entrevista cognitiva”</w:t>
      </w:r>
    </w:p>
    <w:p w14:paraId="430FF2C4" w14:textId="5B8C7300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“Narcomenudeo”</w:t>
      </w:r>
    </w:p>
    <w:p w14:paraId="55E114CE" w14:textId="5638CC8B" w:rsidR="00CE401D" w:rsidRPr="00CE401D" w:rsidRDefault="00CE401D" w:rsidP="00CE40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401D">
        <w:rPr>
          <w:rFonts w:ascii="Arial" w:hAnsi="Arial" w:cs="Arial"/>
          <w:sz w:val="24"/>
          <w:szCs w:val="24"/>
        </w:rPr>
        <w:t>“Entrevistas enfocadas en obtención de información”</w:t>
      </w:r>
    </w:p>
    <w:p w14:paraId="70479EE7" w14:textId="77777777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</w:p>
    <w:p w14:paraId="707AD2D9" w14:textId="77777777" w:rsidR="00CE401D" w:rsidRPr="00CE401D" w:rsidRDefault="00CE401D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</w:p>
    <w:p w14:paraId="3F9B0A00" w14:textId="77777777" w:rsidR="001E4F16" w:rsidRPr="00CE401D" w:rsidRDefault="001E4F16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</w:p>
    <w:p w14:paraId="39DB710D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  <w:r w:rsidRPr="00CE401D">
        <w:rPr>
          <w:rFonts w:ascii="Arial" w:eastAsia="Arial" w:hAnsi="Arial" w:cs="Arial"/>
          <w:b/>
          <w:noProof/>
          <w:color w:val="FFFFFF"/>
          <w:sz w:val="24"/>
          <w:szCs w:val="24"/>
        </w:rPr>
        <w:drawing>
          <wp:inline distT="0" distB="0" distL="0" distR="0" wp14:anchorId="6633B2EE" wp14:editId="686434AB">
            <wp:extent cx="2370924" cy="32596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E401D">
        <w:rPr>
          <w:rFonts w:ascii="Arial" w:eastAsia="Arial" w:hAnsi="Arial" w:cs="Arial"/>
          <w:b/>
          <w:color w:val="FFFFFF"/>
          <w:sz w:val="24"/>
          <w:szCs w:val="24"/>
        </w:rPr>
        <w:t>Trayectoria Profesional</w:t>
      </w:r>
    </w:p>
    <w:p w14:paraId="328CCB67" w14:textId="77777777" w:rsidR="001E4F16" w:rsidRPr="00CE401D" w:rsidRDefault="001E4F16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5E63F36D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 w:rsidRPr="00CE401D">
        <w:rPr>
          <w:rFonts w:ascii="Arial" w:eastAsia="Arial" w:hAnsi="Arial" w:cs="Arial"/>
          <w:b/>
          <w:color w:val="404040"/>
          <w:sz w:val="24"/>
          <w:szCs w:val="24"/>
        </w:rPr>
        <w:t>01-03-2011 A 20-01-2015</w:t>
      </w:r>
    </w:p>
    <w:p w14:paraId="3B7E819A" w14:textId="77777777" w:rsidR="001E4F16" w:rsidRPr="00CE401D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CE401D">
        <w:rPr>
          <w:rFonts w:ascii="Arial" w:eastAsia="Arial" w:hAnsi="Arial" w:cs="Arial"/>
          <w:color w:val="404040"/>
          <w:sz w:val="24"/>
          <w:szCs w:val="24"/>
        </w:rPr>
        <w:t>Oficial Secretario en la Agencia Tercera del Ministerio Publico Investigador en Minatitlán</w:t>
      </w:r>
    </w:p>
    <w:p w14:paraId="7F3EC516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261BDC86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20-01-2015 A 01-05-2015</w:t>
      </w:r>
    </w:p>
    <w:p w14:paraId="15E7BA27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Agente del Ministerio Publico Municipal en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Hidalgotitlan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>, Veracruz</w:t>
      </w:r>
    </w:p>
    <w:p w14:paraId="75DD29DB" w14:textId="77777777" w:rsidR="0074366A" w:rsidRDefault="0074366A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409B9F89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02-05-2015 a 31-07-2015</w:t>
      </w:r>
    </w:p>
    <w:p w14:paraId="2D4410AE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Agente del Ministerio Publico Municipal en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Hidalgotitlan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>, Veracruz Encargado del Despacho de la Agencia Tercera del Ministerio Publico Investigador en Minatitlán</w:t>
      </w:r>
    </w:p>
    <w:p w14:paraId="2740A8BF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76967070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01-08-2015 A 09-11-2015</w:t>
      </w:r>
    </w:p>
    <w:p w14:paraId="04647CB7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Agente Primero del Ministerio Publico Investigador en Coatzacoalcos, Veracruz.</w:t>
      </w:r>
    </w:p>
    <w:p w14:paraId="1E112E0E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1420A40F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10-11-2015 A 10-09-2016</w:t>
      </w:r>
    </w:p>
    <w:p w14:paraId="4342862D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Encargado de la Subunidad en Cosoleacaque del XXI Distrito Judicial en Coatzacoalcos, Veracruz.</w:t>
      </w:r>
    </w:p>
    <w:p w14:paraId="6A22450F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3FC0530D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11-09-2016 a 16-08-2017</w:t>
      </w:r>
    </w:p>
    <w:p w14:paraId="503EE433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Encargado de la Subunidad Integral en Nanchital del Lázaro Cárdenas del Rio del XXI Distrito Judicial en Coatzacoalcos, Veracruz.</w:t>
      </w:r>
    </w:p>
    <w:p w14:paraId="17C56780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0B204D5B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17-08-2017 a 22-03-2019 </w:t>
      </w:r>
    </w:p>
    <w:p w14:paraId="714443D8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Encargado de la Subunidad Integral en Las Choapas del XXI Distrito Judicial en Coatzacoalcos, Veracruz.</w:t>
      </w:r>
    </w:p>
    <w:p w14:paraId="62EBA09D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047D9DA7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23-02-2019 a 01-06-2019</w:t>
      </w:r>
    </w:p>
    <w:p w14:paraId="6215B162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Fiscal Encargado de la Subunidad en Cosoleacaque del XXI Distrito Judicial en Coatzacoalcos, Veracruz.</w:t>
      </w:r>
    </w:p>
    <w:p w14:paraId="7542F2C3" w14:textId="77777777" w:rsidR="001E4F16" w:rsidRDefault="001E4F16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bookmarkStart w:id="0" w:name="_gjdgxs" w:colFirst="0" w:colLast="0"/>
      <w:bookmarkEnd w:id="0"/>
    </w:p>
    <w:p w14:paraId="24680DD7" w14:textId="77777777" w:rsidR="00BA61A9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02-06-2019</w:t>
      </w:r>
      <w:r w:rsidR="00BA61A9">
        <w:rPr>
          <w:rFonts w:ascii="Arial" w:eastAsia="Arial" w:hAnsi="Arial" w:cs="Arial"/>
          <w:b/>
          <w:color w:val="404040"/>
          <w:sz w:val="24"/>
          <w:szCs w:val="24"/>
        </w:rPr>
        <w:t xml:space="preserve"> a 11-05-2021</w:t>
      </w:r>
    </w:p>
    <w:p w14:paraId="46E7B344" w14:textId="77777777" w:rsidR="001E4F16" w:rsidRDefault="00A217C0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Fiscal Encargado de la Subunidad Integral en </w:t>
      </w:r>
      <w:proofErr w:type="spellStart"/>
      <w:r>
        <w:rPr>
          <w:rFonts w:ascii="Arial" w:eastAsia="Arial" w:hAnsi="Arial" w:cs="Arial"/>
          <w:color w:val="404040"/>
          <w:sz w:val="24"/>
          <w:szCs w:val="24"/>
        </w:rPr>
        <w:t>Minatitlan</w:t>
      </w:r>
      <w:proofErr w:type="spellEnd"/>
      <w:r>
        <w:rPr>
          <w:rFonts w:ascii="Arial" w:eastAsia="Arial" w:hAnsi="Arial" w:cs="Arial"/>
          <w:color w:val="404040"/>
          <w:sz w:val="24"/>
          <w:szCs w:val="24"/>
        </w:rPr>
        <w:t xml:space="preserve"> del XXI Distrito Judicial </w:t>
      </w:r>
    </w:p>
    <w:p w14:paraId="41D52074" w14:textId="77777777" w:rsidR="00BA61A9" w:rsidRDefault="00BA61A9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284AD96F" w14:textId="37ACEBF3" w:rsidR="00BA61A9" w:rsidRDefault="00BA61A9" w:rsidP="00BA61A9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12-05-2021 </w:t>
      </w:r>
      <w:r w:rsidR="00FC1E74">
        <w:rPr>
          <w:rFonts w:ascii="Arial" w:eastAsia="Arial" w:hAnsi="Arial" w:cs="Arial"/>
          <w:b/>
          <w:color w:val="404040"/>
          <w:sz w:val="24"/>
          <w:szCs w:val="24"/>
        </w:rPr>
        <w:t>a 30/06/2022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a la fecha </w:t>
      </w:r>
    </w:p>
    <w:p w14:paraId="5A844240" w14:textId="1289DC09" w:rsidR="00BA61A9" w:rsidRDefault="00BA61A9" w:rsidP="00BA61A9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Fiscal Encargado de la Subunidad Integral en Tlapacoyan del XXI Distrito Judicial </w:t>
      </w:r>
    </w:p>
    <w:p w14:paraId="4DCB028F" w14:textId="465E93B8" w:rsidR="00FC1E74" w:rsidRPr="00FC1E74" w:rsidRDefault="00FC1E74" w:rsidP="00BA61A9">
      <w:pPr>
        <w:spacing w:after="0" w:line="240" w:lineRule="auto"/>
        <w:rPr>
          <w:rFonts w:ascii="Arial" w:eastAsia="Arial" w:hAnsi="Arial" w:cs="Arial"/>
          <w:b/>
          <w:bCs/>
          <w:color w:val="404040"/>
          <w:sz w:val="24"/>
          <w:szCs w:val="24"/>
        </w:rPr>
      </w:pPr>
      <w:r w:rsidRPr="00FC1E74">
        <w:rPr>
          <w:rFonts w:ascii="Arial" w:eastAsia="Arial" w:hAnsi="Arial" w:cs="Arial"/>
          <w:b/>
          <w:bCs/>
          <w:color w:val="404040"/>
          <w:sz w:val="24"/>
          <w:szCs w:val="24"/>
        </w:rPr>
        <w:t>01/07/2022 a la fecha</w:t>
      </w:r>
    </w:p>
    <w:p w14:paraId="1EEE83AB" w14:textId="0B3EA114" w:rsidR="00BA61A9" w:rsidRDefault="00FC1E74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Fiscal de Distrito de la Unidad Integral del IX Distrito Judicial en Misantla, Ver. </w:t>
      </w:r>
    </w:p>
    <w:p w14:paraId="7CB62CF7" w14:textId="77777777" w:rsidR="00FC1E74" w:rsidRDefault="00FC1E74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</w:p>
    <w:p w14:paraId="3F3DF89C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noProof/>
          <w:color w:val="FFFFFF"/>
          <w:sz w:val="24"/>
          <w:szCs w:val="24"/>
        </w:rPr>
        <w:lastRenderedPageBreak/>
        <w:drawing>
          <wp:inline distT="0" distB="0" distL="0" distR="0" wp14:anchorId="674566A6" wp14:editId="6C7FE909">
            <wp:extent cx="2309684" cy="34034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FFFFFF"/>
          <w:sz w:val="24"/>
          <w:szCs w:val="24"/>
        </w:rPr>
        <w:t xml:space="preserve"> Conocimiento</w:t>
      </w:r>
    </w:p>
    <w:p w14:paraId="47774912" w14:textId="77777777" w:rsidR="001E4F16" w:rsidRDefault="001E4F16">
      <w:pPr>
        <w:rPr>
          <w:rFonts w:ascii="Arial" w:eastAsia="Arial" w:hAnsi="Arial" w:cs="Arial"/>
          <w:color w:val="404040"/>
          <w:sz w:val="24"/>
          <w:szCs w:val="24"/>
        </w:rPr>
      </w:pPr>
    </w:p>
    <w:p w14:paraId="463B0D8F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Derecho Constitucional</w:t>
      </w:r>
    </w:p>
    <w:p w14:paraId="6283EE81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Derecho Civil</w:t>
      </w:r>
    </w:p>
    <w:p w14:paraId="7A61B69B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Derecho Penal</w:t>
      </w:r>
    </w:p>
    <w:p w14:paraId="11A76028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Amparo</w:t>
      </w:r>
    </w:p>
    <w:p w14:paraId="5D209E25" w14:textId="77777777" w:rsidR="001E4F16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Derecho Agrario</w:t>
      </w:r>
    </w:p>
    <w:p w14:paraId="28C6CEB2" w14:textId="77777777" w:rsidR="006A09A5" w:rsidRDefault="00A217C0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  <w:sectPr w:rsidR="006A09A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404040"/>
          <w:sz w:val="24"/>
          <w:szCs w:val="24"/>
        </w:rPr>
        <w:t>Derecho Laboral</w:t>
      </w:r>
    </w:p>
    <w:p w14:paraId="475FD373" w14:textId="77777777" w:rsidR="001E4F16" w:rsidRDefault="001E4F16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423FACBB" w14:textId="77777777" w:rsidR="001E4F16" w:rsidRDefault="001E4F16">
      <w:pPr>
        <w:rPr>
          <w:rFonts w:ascii="Arial" w:eastAsia="Arial" w:hAnsi="Arial" w:cs="Arial"/>
          <w:b/>
          <w:sz w:val="24"/>
          <w:szCs w:val="24"/>
        </w:rPr>
      </w:pPr>
    </w:p>
    <w:p w14:paraId="1FD2667D" w14:textId="1FCD8748" w:rsidR="001E4F16" w:rsidRDefault="006A09A5" w:rsidP="006A09A5">
      <w:pPr>
        <w:ind w:left="-2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8491390" wp14:editId="21499B0A">
            <wp:extent cx="6973570" cy="1495425"/>
            <wp:effectExtent l="0" t="0" r="0" b="9525"/>
            <wp:docPr id="591890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4F16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CEB3" w14:textId="77777777" w:rsidR="006B6048" w:rsidRDefault="006B6048">
      <w:pPr>
        <w:spacing w:after="0" w:line="240" w:lineRule="auto"/>
      </w:pPr>
      <w:r>
        <w:separator/>
      </w:r>
    </w:p>
  </w:endnote>
  <w:endnote w:type="continuationSeparator" w:id="0">
    <w:p w14:paraId="48952B07" w14:textId="77777777" w:rsidR="006B6048" w:rsidRDefault="006B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551B4" w14:textId="77777777" w:rsidR="001E4F16" w:rsidRDefault="00A217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00E3AB0" wp14:editId="6CEE555D">
          <wp:simplePos x="0" y="0"/>
          <wp:positionH relativeFrom="column">
            <wp:posOffset>-1980564</wp:posOffset>
          </wp:positionH>
          <wp:positionV relativeFrom="paragraph">
            <wp:posOffset>-294639</wp:posOffset>
          </wp:positionV>
          <wp:extent cx="8067040" cy="5238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27AE3" w14:textId="0E59A2AA" w:rsidR="006A09A5" w:rsidRDefault="006A09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831D1" w14:textId="77777777" w:rsidR="006B6048" w:rsidRDefault="006B6048">
      <w:pPr>
        <w:spacing w:after="0" w:line="240" w:lineRule="auto"/>
      </w:pPr>
      <w:r>
        <w:separator/>
      </w:r>
    </w:p>
  </w:footnote>
  <w:footnote w:type="continuationSeparator" w:id="0">
    <w:p w14:paraId="6D30B3DF" w14:textId="77777777" w:rsidR="006B6048" w:rsidRDefault="006B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B0F4F" w14:textId="77777777" w:rsidR="001E4F16" w:rsidRDefault="00A217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48BB8E" wp14:editId="6F5020FB">
          <wp:simplePos x="0" y="0"/>
          <wp:positionH relativeFrom="column">
            <wp:posOffset>-1351914</wp:posOffset>
          </wp:positionH>
          <wp:positionV relativeFrom="paragraph">
            <wp:posOffset>-20954</wp:posOffset>
          </wp:positionV>
          <wp:extent cx="694055" cy="1114425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34E5" w14:textId="384AF589" w:rsidR="006A09A5" w:rsidRDefault="006A09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F16"/>
    <w:rsid w:val="00046E62"/>
    <w:rsid w:val="001E4F16"/>
    <w:rsid w:val="005B19BB"/>
    <w:rsid w:val="006A09A5"/>
    <w:rsid w:val="006B6048"/>
    <w:rsid w:val="0074366A"/>
    <w:rsid w:val="00A217C0"/>
    <w:rsid w:val="00BA61A9"/>
    <w:rsid w:val="00BE692A"/>
    <w:rsid w:val="00CE401D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C912"/>
  <w15:docId w15:val="{B5DC418B-7FE4-4A2E-9448-CC876ABC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1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0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9A5"/>
  </w:style>
  <w:style w:type="paragraph" w:styleId="Piedepgina">
    <w:name w:val="footer"/>
    <w:basedOn w:val="Normal"/>
    <w:link w:val="PiedepginaCar"/>
    <w:uiPriority w:val="99"/>
    <w:unhideWhenUsed/>
    <w:rsid w:val="006A0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663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Fiscalía General del Estado de Veracruz</cp:lastModifiedBy>
  <cp:revision>7</cp:revision>
  <cp:lastPrinted>2021-06-11T01:31:00Z</cp:lastPrinted>
  <dcterms:created xsi:type="dcterms:W3CDTF">2021-06-11T01:17:00Z</dcterms:created>
  <dcterms:modified xsi:type="dcterms:W3CDTF">2026-02-19T19:13:00Z</dcterms:modified>
</cp:coreProperties>
</file>